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E1" w:rsidRPr="00D05DCA" w:rsidRDefault="00B214E1" w:rsidP="00B214E1">
      <w:pPr>
        <w:pStyle w:val="Heading2"/>
        <w:tabs>
          <w:tab w:val="clear" w:pos="567"/>
          <w:tab w:val="left" w:pos="0"/>
        </w:tabs>
        <w:spacing w:after="0" w:line="276" w:lineRule="auto"/>
        <w:ind w:left="0" w:right="142" w:firstLine="0"/>
        <w:rPr>
          <w:rFonts w:ascii="Cambria" w:hAnsi="Cambria" w:cs="Calibri"/>
          <w:b w:val="0"/>
          <w:color w:val="auto"/>
          <w:lang w:val="el-GR"/>
        </w:rPr>
      </w:pPr>
      <w:bookmarkStart w:id="0" w:name="_Toc9285"/>
      <w:bookmarkStart w:id="1" w:name="_Toc69414633"/>
      <w:bookmarkStart w:id="2" w:name="_GoBack"/>
      <w:bookmarkEnd w:id="2"/>
      <w:r w:rsidRPr="00D05DCA">
        <w:rPr>
          <w:rFonts w:ascii="Cambria" w:hAnsi="Cambria" w:cs="Calibri"/>
          <w:color w:val="auto"/>
          <w:lang w:val="el-GR"/>
        </w:rPr>
        <w:t>ΠΑΡΑΡΤΗΜΑ ΙV – Υπόδειγμα Οικονομικής Προσφοράς</w:t>
      </w:r>
      <w:bookmarkEnd w:id="0"/>
      <w:bookmarkEnd w:id="1"/>
    </w:p>
    <w:p w:rsidR="00B214E1" w:rsidRPr="00D05DCA" w:rsidRDefault="00B214E1" w:rsidP="00B214E1">
      <w:pPr>
        <w:pStyle w:val="normalwithoutspacing"/>
        <w:spacing w:after="0" w:line="276" w:lineRule="auto"/>
        <w:ind w:right="142"/>
        <w:rPr>
          <w:rFonts w:ascii="Cambria" w:hAnsi="Cambria"/>
          <w:b/>
          <w:szCs w:val="22"/>
          <w:u w:val="single"/>
        </w:rPr>
      </w:pPr>
      <w:r w:rsidRPr="00D05DCA">
        <w:rPr>
          <w:rFonts w:ascii="Cambria" w:hAnsi="Cambria"/>
          <w:b/>
          <w:szCs w:val="22"/>
          <w:u w:val="single"/>
        </w:rPr>
        <w:t xml:space="preserve">Υπόδειγμα Οικονομικής Προσφοράς </w:t>
      </w:r>
    </w:p>
    <w:p w:rsidR="00B214E1" w:rsidRPr="00D05DCA" w:rsidRDefault="00B214E1" w:rsidP="00B214E1">
      <w:pPr>
        <w:suppressAutoHyphens w:val="0"/>
        <w:autoSpaceDE w:val="0"/>
        <w:spacing w:after="0" w:line="276" w:lineRule="auto"/>
        <w:ind w:right="142"/>
        <w:rPr>
          <w:rFonts w:ascii="Cambria" w:hAnsi="Cambria"/>
          <w:lang w:val="el-GR"/>
        </w:rPr>
      </w:pPr>
    </w:p>
    <w:p w:rsidR="00B214E1" w:rsidRPr="00D05DCA" w:rsidRDefault="00B214E1" w:rsidP="00B214E1">
      <w:pPr>
        <w:shd w:val="clear" w:color="auto" w:fill="FFFFFF"/>
        <w:spacing w:after="0" w:line="276" w:lineRule="auto"/>
        <w:ind w:right="142"/>
        <w:jc w:val="center"/>
        <w:rPr>
          <w:rFonts w:ascii="Cambria" w:hAnsi="Cambria"/>
          <w:b/>
          <w:szCs w:val="22"/>
          <w:lang w:val="el-GR" w:eastAsia="el-GR"/>
        </w:rPr>
      </w:pPr>
      <w:r w:rsidRPr="00D05DCA">
        <w:rPr>
          <w:rFonts w:ascii="Cambria" w:hAnsi="Cambria"/>
          <w:b/>
          <w:szCs w:val="22"/>
          <w:lang w:val="el-GR" w:eastAsia="el-GR"/>
        </w:rPr>
        <w:t>ΠΡΟΣ ΤΟ ΕΘΝΙΚΟ ΜΕΤΣΟΒΙΟ ΠΟΛΥΤΕΧΝΕΙΟ</w:t>
      </w:r>
    </w:p>
    <w:p w:rsidR="00B214E1" w:rsidRPr="00D05DCA" w:rsidRDefault="00B214E1" w:rsidP="00B214E1">
      <w:pPr>
        <w:shd w:val="clear" w:color="auto" w:fill="FFFFFF"/>
        <w:spacing w:after="0" w:line="276" w:lineRule="auto"/>
        <w:ind w:right="142"/>
        <w:jc w:val="center"/>
        <w:rPr>
          <w:rFonts w:ascii="Cambria" w:hAnsi="Cambria"/>
          <w:b/>
          <w:szCs w:val="22"/>
          <w:lang w:val="el-GR" w:eastAsia="el-GR"/>
        </w:rPr>
      </w:pPr>
      <w:r w:rsidRPr="00D05DCA">
        <w:rPr>
          <w:rFonts w:ascii="Cambria" w:hAnsi="Cambria"/>
          <w:b/>
          <w:szCs w:val="22"/>
          <w:lang w:val="el-GR"/>
        </w:rPr>
        <w:t xml:space="preserve">Ηρώων Πολυτεχνείου 9, </w:t>
      </w:r>
      <w:r w:rsidRPr="00D05DCA">
        <w:rPr>
          <w:rFonts w:ascii="Cambria" w:hAnsi="Cambria"/>
          <w:b/>
          <w:szCs w:val="22"/>
          <w:lang w:val="el-GR" w:eastAsia="el-GR"/>
        </w:rPr>
        <w:t>Πολυτεχνειούπολη Ζωγράφου, Τ.Κ. 157 80, Αθήνα</w:t>
      </w:r>
    </w:p>
    <w:p w:rsidR="00B214E1" w:rsidRPr="00D05DCA" w:rsidRDefault="00B214E1" w:rsidP="00B214E1">
      <w:pPr>
        <w:shd w:val="clear" w:color="auto" w:fill="FFFFFF"/>
        <w:spacing w:after="0" w:line="276" w:lineRule="auto"/>
        <w:ind w:right="142"/>
        <w:jc w:val="center"/>
        <w:rPr>
          <w:rFonts w:ascii="Cambria" w:hAnsi="Cambria"/>
          <w:b/>
          <w:szCs w:val="22"/>
          <w:lang w:val="el-GR" w:eastAsia="el-GR"/>
        </w:rPr>
      </w:pPr>
    </w:p>
    <w:p w:rsidR="00B214E1" w:rsidRPr="00D05DCA" w:rsidRDefault="00B214E1" w:rsidP="00B214E1">
      <w:pPr>
        <w:shd w:val="clear" w:color="auto" w:fill="FFFFFF"/>
        <w:spacing w:after="0" w:line="276" w:lineRule="auto"/>
        <w:ind w:left="-6" w:right="142"/>
        <w:jc w:val="center"/>
        <w:rPr>
          <w:rFonts w:ascii="Cambria" w:hAnsi="Cambria"/>
          <w:b/>
          <w:bCs/>
          <w:szCs w:val="22"/>
          <w:lang w:val="el-GR"/>
        </w:rPr>
      </w:pPr>
      <w:r w:rsidRPr="00D05DCA">
        <w:rPr>
          <w:rFonts w:ascii="Cambria" w:hAnsi="Cambria"/>
          <w:b/>
          <w:bCs/>
          <w:szCs w:val="22"/>
          <w:lang w:val="el-GR"/>
        </w:rPr>
        <w:t>ΟΙΚΟΝΟΜΙΚΗ ΠΡΟΣΦΟΡΑ</w:t>
      </w:r>
    </w:p>
    <w:p w:rsidR="00B214E1" w:rsidRPr="00D05DCA" w:rsidRDefault="00B214E1" w:rsidP="00B214E1">
      <w:pPr>
        <w:shd w:val="clear" w:color="auto" w:fill="FFFFFF"/>
        <w:spacing w:after="0" w:line="276" w:lineRule="auto"/>
        <w:ind w:left="-6" w:right="142"/>
        <w:jc w:val="center"/>
        <w:rPr>
          <w:rFonts w:ascii="Cambria" w:hAnsi="Cambria"/>
          <w:szCs w:val="22"/>
          <w:lang w:val="el-GR"/>
        </w:rPr>
      </w:pPr>
      <w:r w:rsidRPr="00D05DCA">
        <w:rPr>
          <w:rFonts w:ascii="Cambria" w:hAnsi="Cambria"/>
          <w:b/>
          <w:bCs/>
          <w:szCs w:val="22"/>
          <w:lang w:val="el-GR"/>
        </w:rPr>
        <w:t>του …</w:t>
      </w:r>
      <w:r w:rsidRPr="00D05DCA">
        <w:rPr>
          <w:rFonts w:ascii="Cambria" w:hAnsi="Cambria"/>
          <w:szCs w:val="22"/>
          <w:lang w:val="el-GR"/>
        </w:rPr>
        <w:t xml:space="preserve"> [</w:t>
      </w:r>
      <w:r w:rsidRPr="00D05DCA">
        <w:rPr>
          <w:rFonts w:ascii="Cambria" w:hAnsi="Cambria"/>
          <w:i/>
          <w:iCs/>
          <w:szCs w:val="22"/>
          <w:lang w:val="el-GR"/>
        </w:rPr>
        <w:t>Ονοματεπώνυμο φυσικού προσώπου ή επωνυμία νομικού προσώπου, ταχυδρομική διεύθυνση, τηλέφωνο, αριθμός τηλεομοιοτυπίας και διεύθυνση ηλεκτρονικού ταχυδρομείου</w:t>
      </w:r>
      <w:r w:rsidRPr="00D05DCA">
        <w:rPr>
          <w:rFonts w:ascii="Cambria" w:hAnsi="Cambria"/>
          <w:szCs w:val="22"/>
          <w:lang w:val="el-GR"/>
        </w:rPr>
        <w:t>]</w:t>
      </w:r>
    </w:p>
    <w:p w:rsidR="00B214E1" w:rsidRPr="00D05DCA" w:rsidRDefault="00B214E1" w:rsidP="00B214E1">
      <w:pPr>
        <w:spacing w:after="0"/>
        <w:ind w:right="142"/>
        <w:jc w:val="center"/>
        <w:rPr>
          <w:rFonts w:ascii="Cambria" w:hAnsi="Cambria"/>
          <w:lang w:val="el-GR"/>
        </w:rPr>
      </w:pPr>
      <w:r w:rsidRPr="00D05DCA">
        <w:rPr>
          <w:rFonts w:ascii="Cambria" w:hAnsi="Cambria"/>
          <w:szCs w:val="22"/>
          <w:lang w:val="el-GR" w:eastAsia="el-GR"/>
        </w:rPr>
        <w:t>για τον διαγωνισμό με τίτλο «</w:t>
      </w:r>
      <w:r w:rsidRPr="00D05DCA">
        <w:rPr>
          <w:rFonts w:ascii="Cambria" w:hAnsi="Cambria"/>
          <w:lang w:val="el-GR"/>
        </w:rPr>
        <w:t xml:space="preserve">Προμήθεια αδειών για το </w:t>
      </w:r>
      <w:r w:rsidRPr="00D05DCA">
        <w:rPr>
          <w:rFonts w:ascii="Cambria" w:hAnsi="Cambria"/>
        </w:rPr>
        <w:t>Microsoft</w:t>
      </w:r>
      <w:r w:rsidRPr="00D05DCA">
        <w:rPr>
          <w:rFonts w:ascii="Cambria" w:hAnsi="Cambria"/>
          <w:lang w:val="el-GR"/>
        </w:rPr>
        <w:t xml:space="preserve"> </w:t>
      </w:r>
      <w:r w:rsidRPr="00D05DCA">
        <w:rPr>
          <w:rFonts w:ascii="Cambria" w:hAnsi="Cambria"/>
        </w:rPr>
        <w:t>Office</w:t>
      </w:r>
      <w:r w:rsidRPr="00D05DCA">
        <w:rPr>
          <w:rFonts w:ascii="Cambria" w:hAnsi="Cambria"/>
          <w:lang w:val="el-GR"/>
        </w:rPr>
        <w:t xml:space="preserve"> 365 </w:t>
      </w:r>
      <w:r w:rsidRPr="00D05DCA">
        <w:rPr>
          <w:rFonts w:ascii="Cambria" w:hAnsi="Cambria"/>
        </w:rPr>
        <w:t>for</w:t>
      </w:r>
      <w:r w:rsidRPr="00D05DCA">
        <w:rPr>
          <w:rFonts w:ascii="Cambria" w:hAnsi="Cambria"/>
          <w:lang w:val="el-GR"/>
        </w:rPr>
        <w:t xml:space="preserve"> </w:t>
      </w:r>
      <w:r w:rsidRPr="00D05DCA">
        <w:rPr>
          <w:rFonts w:ascii="Cambria" w:hAnsi="Cambria"/>
        </w:rPr>
        <w:t>Education</w:t>
      </w:r>
      <w:r w:rsidRPr="00D05DCA">
        <w:rPr>
          <w:rFonts w:ascii="Cambria" w:hAnsi="Cambria"/>
          <w:lang w:val="el-GR"/>
        </w:rPr>
        <w:t xml:space="preserve"> (</w:t>
      </w:r>
      <w:r w:rsidRPr="00D05DCA">
        <w:rPr>
          <w:rFonts w:ascii="Cambria" w:hAnsi="Cambria"/>
        </w:rPr>
        <w:t>EES</w:t>
      </w:r>
      <w:r w:rsidRPr="00D05DCA">
        <w:rPr>
          <w:rFonts w:ascii="Cambria" w:hAnsi="Cambria"/>
          <w:lang w:val="el-GR"/>
        </w:rPr>
        <w:t>/</w:t>
      </w:r>
      <w:r w:rsidRPr="00D05DCA">
        <w:rPr>
          <w:rFonts w:ascii="Cambria" w:hAnsi="Cambria"/>
        </w:rPr>
        <w:t>Campus</w:t>
      </w:r>
      <w:r w:rsidRPr="00D05DCA">
        <w:rPr>
          <w:rFonts w:ascii="Cambria" w:hAnsi="Cambria"/>
          <w:lang w:val="el-GR"/>
        </w:rPr>
        <w:t xml:space="preserve"> </w:t>
      </w:r>
      <w:r w:rsidRPr="00D05DCA">
        <w:rPr>
          <w:rFonts w:ascii="Cambria" w:hAnsi="Cambria"/>
        </w:rPr>
        <w:t>Agreement</w:t>
      </w:r>
      <w:r w:rsidRPr="00D05DCA">
        <w:rPr>
          <w:rFonts w:ascii="Cambria" w:hAnsi="Cambria"/>
          <w:lang w:val="el-GR"/>
        </w:rPr>
        <w:t>) για δύο (2) έτη</w:t>
      </w:r>
      <w:r w:rsidRPr="00B214E1">
        <w:rPr>
          <w:rFonts w:ascii="Cambria" w:hAnsi="Cambria"/>
          <w:szCs w:val="22"/>
          <w:lang w:val="el-GR" w:eastAsia="el-GR"/>
        </w:rPr>
        <w:t xml:space="preserve">» (Αρ. </w:t>
      </w:r>
      <w:proofErr w:type="spellStart"/>
      <w:r w:rsidRPr="00B214E1">
        <w:rPr>
          <w:rFonts w:ascii="Cambria" w:hAnsi="Cambria"/>
          <w:szCs w:val="22"/>
          <w:lang w:val="el-GR" w:eastAsia="el-GR"/>
        </w:rPr>
        <w:t>Πρωτ</w:t>
      </w:r>
      <w:proofErr w:type="spellEnd"/>
      <w:r w:rsidRPr="00B214E1">
        <w:rPr>
          <w:rFonts w:ascii="Cambria" w:hAnsi="Cambria"/>
          <w:szCs w:val="22"/>
          <w:lang w:val="el-GR" w:eastAsia="el-GR"/>
        </w:rPr>
        <w:t xml:space="preserve">. </w:t>
      </w:r>
      <w:proofErr w:type="spellStart"/>
      <w:r w:rsidRPr="00B214E1">
        <w:rPr>
          <w:rFonts w:ascii="Cambria" w:hAnsi="Cambria"/>
          <w:szCs w:val="22"/>
          <w:lang w:val="el-GR" w:eastAsia="el-GR"/>
        </w:rPr>
        <w:t>Διακ</w:t>
      </w:r>
      <w:proofErr w:type="spellEnd"/>
      <w:r w:rsidRPr="00B214E1">
        <w:rPr>
          <w:rFonts w:ascii="Cambria" w:hAnsi="Cambria"/>
          <w:szCs w:val="22"/>
          <w:lang w:val="el-GR" w:eastAsia="el-GR"/>
        </w:rPr>
        <w:t>. 17301/22-04-2021),</w:t>
      </w:r>
      <w:r w:rsidRPr="00D05DCA">
        <w:rPr>
          <w:rFonts w:ascii="Cambria" w:hAnsi="Cambria"/>
          <w:szCs w:val="22"/>
          <w:lang w:val="el-GR" w:eastAsia="el-GR"/>
        </w:rPr>
        <w:t xml:space="preserve"> συνολικού προϋπολογισμού 59.9</w:t>
      </w:r>
      <w:r w:rsidRPr="00B214E1">
        <w:rPr>
          <w:rFonts w:ascii="Cambria" w:hAnsi="Cambria"/>
          <w:szCs w:val="22"/>
          <w:lang w:val="el-GR" w:eastAsia="el-GR"/>
        </w:rPr>
        <w:t>6</w:t>
      </w:r>
      <w:r w:rsidRPr="00D05DCA">
        <w:rPr>
          <w:rFonts w:ascii="Cambria" w:hAnsi="Cambria"/>
          <w:szCs w:val="22"/>
          <w:lang w:val="el-GR" w:eastAsia="el-GR"/>
        </w:rPr>
        <w:t>0,00 € πλέον ΦΠΑ.</w:t>
      </w:r>
    </w:p>
    <w:p w:rsidR="00B214E1" w:rsidRPr="00D05DCA" w:rsidRDefault="00B214E1" w:rsidP="00B214E1">
      <w:pPr>
        <w:suppressAutoHyphens w:val="0"/>
        <w:spacing w:after="0" w:line="360" w:lineRule="auto"/>
        <w:rPr>
          <w:rFonts w:ascii="Cambria" w:hAnsi="Cambria"/>
          <w:szCs w:val="22"/>
          <w:lang w:val="el-GR" w:eastAsia="el-GR"/>
        </w:rPr>
      </w:pPr>
    </w:p>
    <w:tbl>
      <w:tblPr>
        <w:tblW w:w="10491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12"/>
        <w:gridCol w:w="1559"/>
        <w:gridCol w:w="2552"/>
        <w:gridCol w:w="2268"/>
      </w:tblGrid>
      <w:tr w:rsidR="00B214E1" w:rsidRPr="00D05DCA" w:rsidTr="00B214E1">
        <w:trPr>
          <w:trHeight w:val="300"/>
        </w:trPr>
        <w:tc>
          <w:tcPr>
            <w:tcW w:w="4112" w:type="dxa"/>
            <w:shd w:val="clear" w:color="auto" w:fill="FFFFFF"/>
            <w:noWrap/>
          </w:tcPr>
          <w:p w:rsidR="00B214E1" w:rsidRPr="00D05DCA" w:rsidRDefault="00B214E1" w:rsidP="00A1055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1559" w:type="dxa"/>
            <w:shd w:val="clear" w:color="auto" w:fill="FFFFFF"/>
          </w:tcPr>
          <w:p w:rsidR="00B214E1" w:rsidRPr="00D05DCA" w:rsidRDefault="00B214E1" w:rsidP="00A1055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ΠΟΣΟΤΗΤΑ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D05DCA" w:rsidRDefault="00B214E1" w:rsidP="00A1055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ΕΚΤΙΜΩΜΕΝΗ ΑΞΙΑ ΣΕ ΕΥΡΩ (άνευ ΦΠΑ)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ΠΡΟΣΦΕΡΟΜΕΝΗ ΤΙΜΗ ΣΕ ΕΥΡΩ (άνευ ΦΠΑ)</w:t>
            </w:r>
          </w:p>
        </w:tc>
      </w:tr>
      <w:tr w:rsidR="00B214E1" w:rsidRPr="00D05DCA" w:rsidTr="00B214E1">
        <w:trPr>
          <w:trHeight w:val="600"/>
        </w:trPr>
        <w:tc>
          <w:tcPr>
            <w:tcW w:w="4112" w:type="dxa"/>
            <w:shd w:val="clear" w:color="auto" w:fill="FFFFFF"/>
            <w:noWrap/>
          </w:tcPr>
          <w:p w:rsidR="00B214E1" w:rsidRPr="00D05DCA" w:rsidRDefault="00B214E1" w:rsidP="00A10555">
            <w:pPr>
              <w:rPr>
                <w:rFonts w:ascii="Cambria" w:hAnsi="Cambria"/>
                <w:szCs w:val="22"/>
                <w:lang w:val="en-US"/>
              </w:rPr>
            </w:pPr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M</w:t>
            </w:r>
            <w:r w:rsidRPr="00B214E1">
              <w:rPr>
                <w:rFonts w:ascii="Cambria" w:hAnsi="Cambria"/>
                <w:b/>
                <w:color w:val="212121"/>
                <w:sz w:val="20"/>
                <w:lang w:val="el-GR"/>
              </w:rPr>
              <w:t>365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AppsForEnterpriseEDU</w:t>
            </w:r>
            <w:proofErr w:type="spellEnd"/>
            <w:r w:rsidRPr="00B214E1">
              <w:rPr>
                <w:rFonts w:ascii="Cambria" w:hAnsi="Cambria"/>
                <w:b/>
                <w:color w:val="212121"/>
                <w:sz w:val="20"/>
                <w:lang w:val="el-GR"/>
              </w:rPr>
              <w:t xml:space="preserve">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ShrdSvr</w:t>
            </w:r>
            <w:proofErr w:type="spellEnd"/>
            <w:r w:rsidRPr="00B214E1">
              <w:rPr>
                <w:rFonts w:ascii="Cambria" w:hAnsi="Cambria"/>
                <w:b/>
                <w:color w:val="212121"/>
                <w:sz w:val="20"/>
                <w:lang w:val="el-GR"/>
              </w:rPr>
              <w:t xml:space="preserve"> </w:t>
            </w:r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ALNG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SubsVL</w:t>
            </w:r>
            <w:proofErr w:type="spellEnd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 MVL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PerUsr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214E1" w:rsidRPr="00846EE0" w:rsidRDefault="00B214E1" w:rsidP="00A10555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1030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846EE0" w:rsidRDefault="00B214E1" w:rsidP="00A10555">
            <w:pPr>
              <w:jc w:val="right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57.680,00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214E1" w:rsidRPr="00D05DCA" w:rsidTr="00B214E1">
        <w:trPr>
          <w:trHeight w:val="600"/>
        </w:trPr>
        <w:tc>
          <w:tcPr>
            <w:tcW w:w="4112" w:type="dxa"/>
            <w:shd w:val="clear" w:color="auto" w:fill="FFFFFF"/>
            <w:noWrap/>
          </w:tcPr>
          <w:p w:rsidR="00B214E1" w:rsidRPr="00D05DCA" w:rsidRDefault="00B214E1" w:rsidP="00A10555">
            <w:pPr>
              <w:pStyle w:val="TableParagraph"/>
              <w:spacing w:before="32" w:line="223" w:lineRule="exact"/>
              <w:rPr>
                <w:rFonts w:ascii="Cambria" w:hAnsi="Cambria"/>
                <w:b/>
                <w:sz w:val="20"/>
                <w:lang w:val="en-US"/>
              </w:rPr>
            </w:pPr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O365EDUA3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ShrdSvr</w:t>
            </w:r>
            <w:proofErr w:type="spellEnd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 ALNG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SubsVL</w:t>
            </w:r>
            <w:proofErr w:type="spellEnd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 MVL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PerUsr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214E1" w:rsidRPr="00846EE0" w:rsidRDefault="00B214E1" w:rsidP="00A10555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20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846EE0" w:rsidRDefault="00B214E1" w:rsidP="00A10555">
            <w:pPr>
              <w:jc w:val="right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1.520,00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214E1" w:rsidRPr="00D05DCA" w:rsidTr="00B214E1">
        <w:trPr>
          <w:trHeight w:val="600"/>
        </w:trPr>
        <w:tc>
          <w:tcPr>
            <w:tcW w:w="4112" w:type="dxa"/>
            <w:shd w:val="clear" w:color="auto" w:fill="FFFFFF"/>
            <w:noWrap/>
          </w:tcPr>
          <w:p w:rsidR="00B214E1" w:rsidRPr="00D05DCA" w:rsidRDefault="00B214E1" w:rsidP="00A10555">
            <w:pPr>
              <w:pStyle w:val="TableParagraph"/>
              <w:spacing w:before="44" w:line="223" w:lineRule="exact"/>
              <w:rPr>
                <w:rFonts w:ascii="Cambria" w:hAnsi="Cambria"/>
                <w:b/>
                <w:sz w:val="20"/>
                <w:lang w:val="en-US"/>
              </w:rPr>
            </w:pPr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O365EDUA5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ShrdSvr</w:t>
            </w:r>
            <w:proofErr w:type="spellEnd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 ALNG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SubsVL</w:t>
            </w:r>
            <w:proofErr w:type="spellEnd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 xml:space="preserve"> MVL </w:t>
            </w:r>
            <w:proofErr w:type="spellStart"/>
            <w:r w:rsidRPr="00D05DCA">
              <w:rPr>
                <w:rFonts w:ascii="Cambria" w:hAnsi="Cambria"/>
                <w:b/>
                <w:color w:val="212121"/>
                <w:sz w:val="20"/>
                <w:lang w:val="en-US"/>
              </w:rPr>
              <w:t>PerUsr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214E1" w:rsidRPr="00846EE0" w:rsidRDefault="00B214E1" w:rsidP="00A10555">
            <w:pPr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4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846EE0" w:rsidRDefault="00B214E1" w:rsidP="00A10555">
            <w:pPr>
              <w:jc w:val="right"/>
              <w:rPr>
                <w:rFonts w:ascii="Cambria" w:hAnsi="Cambria"/>
                <w:sz w:val="18"/>
                <w:szCs w:val="18"/>
                <w:lang w:val="el-GR"/>
              </w:rPr>
            </w:pPr>
            <w:r>
              <w:rPr>
                <w:rFonts w:ascii="Cambria" w:hAnsi="Cambria"/>
                <w:sz w:val="18"/>
                <w:szCs w:val="18"/>
                <w:lang w:val="el-GR"/>
              </w:rPr>
              <w:t>760,00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B214E1" w:rsidRPr="00D05DCA" w:rsidTr="00B214E1">
        <w:trPr>
          <w:trHeight w:val="300"/>
        </w:trPr>
        <w:tc>
          <w:tcPr>
            <w:tcW w:w="5671" w:type="dxa"/>
            <w:gridSpan w:val="2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 Υ Ν Ο Λ Ο (άνευ ΦΠΑ)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</w:rPr>
              <w:t>59.960,00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214E1" w:rsidRPr="00D05DCA" w:rsidTr="00B214E1">
        <w:trPr>
          <w:trHeight w:val="300"/>
        </w:trPr>
        <w:tc>
          <w:tcPr>
            <w:tcW w:w="5671" w:type="dxa"/>
            <w:gridSpan w:val="2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ΦΠΑ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14.39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0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,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4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B214E1" w:rsidRPr="00D05DCA" w:rsidTr="00B214E1">
        <w:trPr>
          <w:trHeight w:val="300"/>
        </w:trPr>
        <w:tc>
          <w:tcPr>
            <w:tcW w:w="5671" w:type="dxa"/>
            <w:gridSpan w:val="2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Σ Υ Ν Ο Λ Ο (συμπεριλαμβανομένου του ΦΠΑ)</w:t>
            </w:r>
          </w:p>
        </w:tc>
        <w:tc>
          <w:tcPr>
            <w:tcW w:w="2552" w:type="dxa"/>
            <w:shd w:val="clear" w:color="auto" w:fill="FFFFFF"/>
            <w:noWrap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74.35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0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,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4</w:t>
            </w:r>
            <w:r w:rsidRPr="00D05DCA"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B214E1" w:rsidRPr="00D05DCA" w:rsidRDefault="00B214E1" w:rsidP="00A10555">
            <w:pPr>
              <w:jc w:val="right"/>
              <w:rPr>
                <w:rFonts w:ascii="Cambria" w:hAnsi="Cambria"/>
                <w:b/>
                <w:bCs/>
                <w:sz w:val="18"/>
                <w:szCs w:val="18"/>
                <w:lang w:val="el-GR"/>
              </w:rPr>
            </w:pPr>
          </w:p>
        </w:tc>
      </w:tr>
    </w:tbl>
    <w:p w:rsidR="00B214E1" w:rsidRDefault="00B214E1" w:rsidP="00B214E1">
      <w:pPr>
        <w:suppressAutoHyphens w:val="0"/>
        <w:spacing w:after="0" w:line="360" w:lineRule="auto"/>
        <w:jc w:val="left"/>
        <w:rPr>
          <w:rFonts w:ascii="Cambria" w:hAnsi="Cambria"/>
          <w:szCs w:val="22"/>
          <w:lang w:val="el-GR" w:eastAsia="el-GR"/>
        </w:rPr>
      </w:pPr>
    </w:p>
    <w:p w:rsidR="00B214E1" w:rsidRPr="00D05DCA" w:rsidRDefault="00B214E1" w:rsidP="00B214E1">
      <w:pPr>
        <w:suppressAutoHyphens w:val="0"/>
        <w:spacing w:after="0" w:line="360" w:lineRule="auto"/>
        <w:ind w:right="-524" w:hanging="993"/>
        <w:jc w:val="left"/>
        <w:rPr>
          <w:rFonts w:ascii="Cambria" w:hAnsi="Cambria"/>
          <w:b/>
          <w:bCs/>
          <w:szCs w:val="22"/>
          <w:u w:val="single"/>
          <w:lang w:val="el-GR" w:eastAsia="el-GR"/>
        </w:rPr>
      </w:pPr>
      <w:r w:rsidRPr="00D05DCA">
        <w:rPr>
          <w:rFonts w:ascii="Cambria" w:hAnsi="Cambria"/>
          <w:bCs/>
          <w:szCs w:val="22"/>
          <w:lang w:val="el-GR" w:eastAsia="el-GR"/>
        </w:rPr>
        <w:t>Η παρούσα ισχύει για διάστημα έξι (6) μηνών από την επόμενη της διενέργειας του διαγωνισμού.</w:t>
      </w:r>
    </w:p>
    <w:p w:rsidR="00B214E1" w:rsidRPr="00D05DCA" w:rsidRDefault="00B214E1" w:rsidP="00B214E1">
      <w:pPr>
        <w:suppressAutoHyphens w:val="0"/>
        <w:spacing w:after="0" w:line="360" w:lineRule="auto"/>
        <w:jc w:val="left"/>
        <w:rPr>
          <w:rFonts w:ascii="Cambria" w:hAnsi="Cambria"/>
          <w:i/>
          <w:szCs w:val="22"/>
          <w:lang w:val="el-GR" w:eastAsia="en-US"/>
        </w:rPr>
      </w:pPr>
    </w:p>
    <w:p w:rsidR="00B214E1" w:rsidRPr="00D05DCA" w:rsidRDefault="00B214E1" w:rsidP="00B214E1">
      <w:pPr>
        <w:suppressAutoHyphens w:val="0"/>
        <w:spacing w:after="0" w:line="360" w:lineRule="auto"/>
        <w:jc w:val="right"/>
        <w:rPr>
          <w:rFonts w:ascii="Cambria" w:hAnsi="Cambria"/>
          <w:szCs w:val="22"/>
          <w:lang w:val="el-GR" w:eastAsia="en-US"/>
        </w:rPr>
      </w:pPr>
      <w:r w:rsidRPr="00D05DCA">
        <w:rPr>
          <w:rFonts w:ascii="Cambria" w:hAnsi="Cambria"/>
          <w:szCs w:val="22"/>
          <w:lang w:val="el-GR" w:eastAsia="en-US"/>
        </w:rPr>
        <w:t>.....................................................</w:t>
      </w:r>
    </w:p>
    <w:p w:rsidR="00B214E1" w:rsidRPr="00D05DCA" w:rsidRDefault="00B214E1" w:rsidP="00B214E1">
      <w:pPr>
        <w:suppressAutoHyphens w:val="0"/>
        <w:spacing w:after="0" w:line="360" w:lineRule="auto"/>
        <w:jc w:val="right"/>
        <w:rPr>
          <w:rFonts w:ascii="Cambria" w:hAnsi="Cambria"/>
          <w:i/>
          <w:szCs w:val="22"/>
          <w:lang w:val="el-GR" w:eastAsia="en-US"/>
        </w:rPr>
      </w:pPr>
      <w:r w:rsidRPr="00D05DCA">
        <w:rPr>
          <w:rFonts w:ascii="Cambria" w:hAnsi="Cambria"/>
          <w:i/>
          <w:szCs w:val="22"/>
          <w:lang w:val="el-GR" w:eastAsia="en-US"/>
        </w:rPr>
        <w:t>(Τόπος και Ημερομηνία)</w:t>
      </w:r>
    </w:p>
    <w:p w:rsidR="00B214E1" w:rsidRPr="00D05DCA" w:rsidRDefault="00B214E1" w:rsidP="00B214E1">
      <w:pPr>
        <w:suppressAutoHyphens w:val="0"/>
        <w:spacing w:after="0" w:line="360" w:lineRule="auto"/>
        <w:jc w:val="right"/>
        <w:rPr>
          <w:rFonts w:ascii="Cambria" w:hAnsi="Cambria"/>
          <w:szCs w:val="22"/>
          <w:lang w:val="el-GR" w:eastAsia="en-US"/>
        </w:rPr>
      </w:pPr>
      <w:r w:rsidRPr="00D05DCA">
        <w:rPr>
          <w:rFonts w:ascii="Cambria" w:hAnsi="Cambria"/>
          <w:szCs w:val="22"/>
          <w:lang w:val="el-GR" w:eastAsia="en-US"/>
        </w:rPr>
        <w:t>Ο Προσφέρων</w:t>
      </w:r>
    </w:p>
    <w:p w:rsidR="00B214E1" w:rsidRPr="00D05DCA" w:rsidRDefault="00B214E1" w:rsidP="00B214E1">
      <w:pPr>
        <w:suppressAutoHyphens w:val="0"/>
        <w:spacing w:after="0" w:line="360" w:lineRule="auto"/>
        <w:jc w:val="right"/>
        <w:rPr>
          <w:rFonts w:ascii="Cambria" w:hAnsi="Cambria"/>
          <w:i/>
          <w:szCs w:val="22"/>
          <w:lang w:val="el-GR" w:eastAsia="en-US"/>
        </w:rPr>
      </w:pPr>
      <w:r w:rsidRPr="00D05DCA">
        <w:rPr>
          <w:rFonts w:ascii="Cambria" w:hAnsi="Cambria"/>
          <w:i/>
          <w:szCs w:val="22"/>
          <w:lang w:val="el-GR" w:eastAsia="en-US"/>
        </w:rPr>
        <w:t>(σφραγίδα και υπογραφή</w:t>
      </w:r>
    </w:p>
    <w:p w:rsidR="005B5C37" w:rsidRPr="00B214E1" w:rsidRDefault="005B5C37">
      <w:pPr>
        <w:rPr>
          <w:lang w:val="el-GR"/>
        </w:rPr>
      </w:pPr>
    </w:p>
    <w:sectPr w:rsidR="005B5C37" w:rsidRPr="00B214E1" w:rsidSect="00B214E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1"/>
    <w:rsid w:val="004D1FD8"/>
    <w:rsid w:val="005B5C37"/>
    <w:rsid w:val="00B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1"/>
    <w:pPr>
      <w:suppressAutoHyphens/>
      <w:spacing w:after="120" w:line="240" w:lineRule="auto"/>
      <w:jc w:val="both"/>
    </w:pPr>
    <w:rPr>
      <w:rFonts w:ascii="Calibri" w:eastAsia="Calibri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214E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Calibri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214E1"/>
    <w:rPr>
      <w:rFonts w:ascii="Arial" w:eastAsia="Calibri" w:hAnsi="Arial" w:cs="Arial"/>
      <w:b/>
      <w:color w:val="002060"/>
      <w:sz w:val="24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B214E1"/>
    <w:pPr>
      <w:widowControl w:val="0"/>
      <w:suppressAutoHyphens w:val="0"/>
      <w:autoSpaceDE w:val="0"/>
      <w:autoSpaceDN w:val="0"/>
      <w:spacing w:after="0"/>
      <w:jc w:val="left"/>
    </w:pPr>
    <w:rPr>
      <w:szCs w:val="22"/>
      <w:lang w:val="el-GR" w:eastAsia="el-GR" w:bidi="el-GR"/>
    </w:rPr>
  </w:style>
  <w:style w:type="paragraph" w:customStyle="1" w:styleId="normalwithoutspacing">
    <w:name w:val="normal_without_spacing"/>
    <w:basedOn w:val="Normal"/>
    <w:uiPriority w:val="99"/>
    <w:rsid w:val="00B214E1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B21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1"/>
    <w:pPr>
      <w:suppressAutoHyphens/>
      <w:spacing w:after="120" w:line="240" w:lineRule="auto"/>
      <w:jc w:val="both"/>
    </w:pPr>
    <w:rPr>
      <w:rFonts w:ascii="Calibri" w:eastAsia="Calibri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214E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Calibri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214E1"/>
    <w:rPr>
      <w:rFonts w:ascii="Arial" w:eastAsia="Calibri" w:hAnsi="Arial" w:cs="Arial"/>
      <w:b/>
      <w:color w:val="002060"/>
      <w:sz w:val="24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B214E1"/>
    <w:pPr>
      <w:widowControl w:val="0"/>
      <w:suppressAutoHyphens w:val="0"/>
      <w:autoSpaceDE w:val="0"/>
      <w:autoSpaceDN w:val="0"/>
      <w:spacing w:after="0"/>
      <w:jc w:val="left"/>
    </w:pPr>
    <w:rPr>
      <w:szCs w:val="22"/>
      <w:lang w:val="el-GR" w:eastAsia="el-GR" w:bidi="el-GR"/>
    </w:rPr>
  </w:style>
  <w:style w:type="paragraph" w:customStyle="1" w:styleId="normalwithoutspacing">
    <w:name w:val="normal_without_spacing"/>
    <w:basedOn w:val="Normal"/>
    <w:uiPriority w:val="99"/>
    <w:rsid w:val="00B214E1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B214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annalamp</cp:lastModifiedBy>
  <cp:revision>2</cp:revision>
  <dcterms:created xsi:type="dcterms:W3CDTF">2021-05-05T09:03:00Z</dcterms:created>
  <dcterms:modified xsi:type="dcterms:W3CDTF">2021-05-05T09:03:00Z</dcterms:modified>
</cp:coreProperties>
</file>